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280" w:line="395.99999999999994" w:lineRule="auto"/>
        <w:jc w:val="center"/>
        <w:rPr/>
      </w:pPr>
      <w:bookmarkStart w:colFirst="0" w:colLast="0" w:name="_dv98mt2shg95" w:id="0"/>
      <w:bookmarkEnd w:id="0"/>
      <w:r w:rsidDel="00000000" w:rsidR="00000000" w:rsidRPr="00000000">
        <w:rPr>
          <w:rtl w:val="0"/>
        </w:rPr>
        <w:t xml:space="preserve">The Monetization Decision Framework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40" w:before="240" w:line="395.99999999999994" w:lineRule="auto"/>
        <w:ind w:left="720" w:hanging="360"/>
        <w:rPr>
          <w:b w:val="1"/>
          <w:bCs w:val="1"/>
          <w:color w:val="030712"/>
          <w:sz w:val="22"/>
          <w:szCs w:val="22"/>
          <w:u w:val="none"/>
        </w:rPr>
      </w:pPr>
      <w:bookmarkStart w:colFirst="0" w:colLast="0" w:name="_s9c73w7nyxhj" w:id="1"/>
      <w:bookmarkEnd w:id="1"/>
      <w:r w:rsidDel="00000000" w:rsidR="00000000" w:rsidRPr="00000000">
        <w:rPr>
          <w:b w:val="1"/>
          <w:bCs w:val="1"/>
          <w:color w:val="030712"/>
          <w:sz w:val="22"/>
          <w:szCs w:val="22"/>
          <w:rtl w:val="0"/>
        </w:rPr>
        <w:t xml:space="preserve">Is your list is under 1,000 subscribers?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For most B2B newsletters, this stage functions primarily as a lead-generation and trust-building channel.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At this size, sponsorship revenue is usually limited unless the audience is exceptionally niche or high-value. 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Focus on: publishing consistently, sharpening positioning, attracting the right readers, and converting attention into conversations, consulting, demos, or customers for your core offer.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40" w:before="240" w:line="395.99999999999994" w:lineRule="auto"/>
        <w:ind w:left="720" w:hanging="360"/>
        <w:rPr>
          <w:b w:val="1"/>
          <w:bCs w:val="1"/>
          <w:color w:val="030712"/>
          <w:sz w:val="22"/>
          <w:szCs w:val="22"/>
          <w:u w:val="none"/>
        </w:rPr>
      </w:pPr>
      <w:bookmarkStart w:colFirst="0" w:colLast="0" w:name="_p9mnvkk87b5g" w:id="2"/>
      <w:bookmarkEnd w:id="2"/>
      <w:r w:rsidDel="00000000" w:rsidR="00000000" w:rsidRPr="00000000">
        <w:rPr>
          <w:b w:val="1"/>
          <w:bCs w:val="1"/>
          <w:color w:val="030712"/>
          <w:sz w:val="22"/>
          <w:szCs w:val="22"/>
          <w:rtl w:val="0"/>
        </w:rPr>
        <w:t xml:space="preserve">Is your list is between 1,000–5,000 subscribers with healthy engagement?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At this stage, many B2B newsletters begin choosing between two viable paths: deepening the lead-generation funnel or introducing a paid tier for the most engaged readers.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Lead-generation optimization may include: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24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Conversion-focused newsletter issues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Stronger CTAs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Downloadable resources,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Consultation funnels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Productized offers tied to the content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If your audience consistently asks for deeper implementation help, templates, frameworks, then access to a paid tier could become viable.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Some newsletters in this range also begin testing sponsorships. Rates vary significantly based on audience quality and niche alignment, but engaged B2B newsletters can often command a few hundred dollars per placement from highly relevant sponsors.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Sponsorships at this stage are usually best treated as: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24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experimental,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selective,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and secondary to audience trust.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ind w:left="720" w:firstLine="0"/>
        <w:rPr>
          <w:color w:val="03071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40" w:before="240" w:line="395.99999999999994" w:lineRule="auto"/>
        <w:ind w:left="720" w:hanging="360"/>
        <w:rPr>
          <w:b w:val="1"/>
          <w:bCs w:val="1"/>
          <w:color w:val="030712"/>
          <w:sz w:val="22"/>
          <w:szCs w:val="22"/>
          <w:u w:val="none"/>
        </w:rPr>
      </w:pPr>
      <w:bookmarkStart w:colFirst="0" w:colLast="0" w:name="_9d56yp88rzkf" w:id="3"/>
      <w:bookmarkEnd w:id="3"/>
      <w:r w:rsidDel="00000000" w:rsidR="00000000" w:rsidRPr="00000000">
        <w:rPr>
          <w:b w:val="1"/>
          <w:bCs w:val="1"/>
          <w:color w:val="030712"/>
          <w:sz w:val="22"/>
          <w:szCs w:val="22"/>
          <w:rtl w:val="0"/>
        </w:rPr>
        <w:t xml:space="preserve">Is your list is between 5,000–20,000 subscribers?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At this stage, multiple monetization models can work simultaneously.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This is where many successful B2B newsletters begin building a full monetization stack: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24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 lead-generation funnel tied to a core business or service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0" w:afterAutospacing="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 paid subscription tier for deeper access or implementation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0" w:beforeAutospacing="0" w:line="395.99999999999994" w:lineRule="auto"/>
        <w:ind w:left="720" w:hanging="360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Selective sponsorships from aligned brands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Illustrative example:</w:t>
      </w:r>
      <w:r w:rsidDel="00000000" w:rsidR="00000000" w:rsidRPr="00000000">
        <w:rPr>
          <w:b w:val="1"/>
          <w:bCs w:val="1"/>
          <w:color w:val="030712"/>
          <w:sz w:val="24"/>
          <w:szCs w:val="24"/>
          <w:rtl w:val="0"/>
        </w:rPr>
        <w:br w:type="textWrapping"/>
      </w:r>
      <w:r w:rsidDel="00000000" w:rsidR="00000000" w:rsidRPr="00000000">
        <w:rPr>
          <w:color w:val="030712"/>
          <w:sz w:val="24"/>
          <w:szCs w:val="24"/>
          <w:rtl w:val="0"/>
        </w:rPr>
        <w:t xml:space="preserve">A 10,000-subscriber newsletter with strong engagement and a small number of aligned sponsor placements per month can generate meaningful sponsorship revenue annually — often enough to become a valuable revenue stream, though rarely enough on its own to support a full standalone media business.</w:t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b w:val="1"/>
          <w:bCs w:val="1"/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The strongest newsletters at this stage avoid treating sponsorships as pure inventory sales. Instead, they position sponsors as genuinely useful recommendations for the audience.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40" w:before="240" w:line="395.99999999999994" w:lineRule="auto"/>
        <w:ind w:left="720" w:hanging="360"/>
        <w:rPr>
          <w:b w:val="1"/>
          <w:bCs w:val="1"/>
          <w:color w:val="030712"/>
          <w:sz w:val="22"/>
          <w:szCs w:val="22"/>
          <w:u w:val="none"/>
        </w:rPr>
      </w:pPr>
      <w:bookmarkStart w:colFirst="0" w:colLast="0" w:name="_92kl9yo00x6" w:id="4"/>
      <w:bookmarkEnd w:id="4"/>
      <w:r w:rsidDel="00000000" w:rsidR="00000000" w:rsidRPr="00000000">
        <w:rPr>
          <w:b w:val="1"/>
          <w:bCs w:val="1"/>
          <w:color w:val="030712"/>
          <w:sz w:val="22"/>
          <w:szCs w:val="22"/>
          <w:rtl w:val="0"/>
        </w:rPr>
        <w:t xml:space="preserve">Is your list is 20,000+ subscribers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At this scale, sponsorships can become a meaningful revenue line, and paid subscriptions may generate recurring revenue if audience trust and positioning remain strong.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The biggest risk at this stage is optimizing for subscriber growth at the expense of audience quality.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>
          <w:color w:val="030712"/>
          <w:sz w:val="24"/>
          <w:szCs w:val="24"/>
        </w:rPr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A fast-growing list with declining trust, weak engagement, or low buyer intent is often less valuable than a smaller but highly engaged operator audience.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240" w:before="240" w:line="395.99999999999994" w:lineRule="auto"/>
        <w:rPr/>
      </w:pPr>
      <w:r w:rsidDel="00000000" w:rsidR="00000000" w:rsidRPr="00000000">
        <w:rPr>
          <w:color w:val="030712"/>
          <w:sz w:val="24"/>
          <w:szCs w:val="24"/>
          <w:rtl w:val="0"/>
        </w:rPr>
        <w:t xml:space="preserve">Do not let subscriber count become the metric that overrides reader quality.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