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u7ij9gdkzios" w:id="0"/>
      <w:bookmarkEnd w:id="0"/>
      <w:r w:rsidDel="00000000" w:rsidR="00000000" w:rsidRPr="00000000">
        <w:rPr>
          <w:rtl w:val="0"/>
        </w:rPr>
        <w:t xml:space="preserve">Cadence Decision Tree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Answer each question in sequence to find your starting cadence.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20" w:line="395.99999999999994" w:lineRule="auto"/>
        <w:rPr>
          <w:b w:val="1"/>
          <w:bCs w:val="1"/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Question 1: How many hours per week can you realistically allocate to your Substack?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1–2 hours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 → Start with 2x/month. You need enough time to do one piece well.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3–5 hours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 → Weekly is viable. It’s a common cadence among fast-growing newsletters.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6+ hours 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→ Weekly with occasional bonus content or a structured two-format model (e.g., a long-form piece plus a shorter "quick take").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95.9999999999999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 2: How original or research-heavy is your content?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240" w:line="395.99999999999994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Curated insights or opinion-driven content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Weekly is realistic because production time is lower. Focus on consistency and sharp positioning.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395.99999999999994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Moderately researched content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Weekly or biweekly usually works best. You need enough time for sourcing, editing, and thoughtful analysis without sacrificing consistency.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0" w:beforeAutospacing="0" w:line="395.99999999999994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Deep research, interviews, or original reporting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Biweekly or twice-monthly is often more sustainable. High-trust B2B audiences will tolerate lower frequency if the insight quality is consistently high.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95.9999999999999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95.9999999999999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20" w:line="395.99999999999994" w:lineRule="auto"/>
        <w:rPr>
          <w:b w:val="1"/>
          <w:bCs w:val="1"/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Question 3: What is your current subscriber count?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0–500 subscribers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 → Frequency matters less than quality. Prioritize depth over volume.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500–2,000 subscribers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 → You've validated some demand. Weekly cadence now pays off because you have enough readers to generate replies, shares, and recommendations from each issue.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2,000+ subscribers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 → You have the volume to experiment with different subject line styles, formats, and publishing structures to identify what drives opens and engagement.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20" w:line="395.99999999999994" w:lineRule="auto"/>
        <w:rPr>
          <w:b w:val="1"/>
          <w:bCs w:val="1"/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Question 4: What is your monetization model?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Lead-gen to a product or service 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→ Frequency should match your sales cycle. If you have a long consideration cycle, weekly content keeps you top-of-mind. </w:t>
      </w: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Direct paid subscriptions 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→ Higher frequency (weekly minimum) justifies the ask for a paid upgrade. Readers need to feel the value consistently before they pay.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Sponsorships</w:t>
      </w: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 → Sponsors typically prefer predictable publishing schedules, and many sponsored newsletters publish at least weekly.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